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62FF5">
        <w:rPr>
          <w:sz w:val="24"/>
          <w:szCs w:val="24"/>
        </w:rPr>
        <w:t>2</w:t>
      </w:r>
      <w:r w:rsidR="00F573C8">
        <w:rPr>
          <w:sz w:val="24"/>
          <w:szCs w:val="24"/>
        </w:rPr>
        <w:t>6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FF4549">
        <w:rPr>
          <w:sz w:val="24"/>
          <w:szCs w:val="24"/>
        </w:rPr>
        <w:t>1</w:t>
      </w:r>
      <w:r w:rsidR="00F573C8">
        <w:rPr>
          <w:sz w:val="24"/>
          <w:szCs w:val="24"/>
        </w:rPr>
        <w:t>8</w:t>
      </w:r>
      <w:r w:rsidR="009A77E9">
        <w:rPr>
          <w:sz w:val="24"/>
          <w:szCs w:val="24"/>
        </w:rPr>
        <w:t xml:space="preserve"> de </w:t>
      </w:r>
      <w:r w:rsidR="00FF4549">
        <w:rPr>
          <w:sz w:val="24"/>
          <w:szCs w:val="24"/>
        </w:rPr>
        <w:t>mayo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573C8" w:rsidRPr="0047077E" w:rsidTr="00D52DB1">
        <w:trPr>
          <w:trHeight w:val="187"/>
        </w:trPr>
        <w:tc>
          <w:tcPr>
            <w:tcW w:w="2410" w:type="dxa"/>
          </w:tcPr>
          <w:p w:rsidR="00F573C8" w:rsidRPr="0047077E" w:rsidRDefault="00F573C8" w:rsidP="001825BC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F573C8" w:rsidRPr="0047077E" w:rsidRDefault="00F573C8" w:rsidP="001825BC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F573C8" w:rsidRPr="0047077E" w:rsidTr="00D52DB1">
        <w:trPr>
          <w:trHeight w:val="199"/>
        </w:trPr>
        <w:tc>
          <w:tcPr>
            <w:tcW w:w="2410" w:type="dxa"/>
          </w:tcPr>
          <w:p w:rsidR="00F573C8" w:rsidRPr="0047077E" w:rsidRDefault="00F573C8" w:rsidP="001825BC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F573C8" w:rsidRPr="0047077E" w:rsidRDefault="00F573C8" w:rsidP="001825BC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16</w:t>
            </w:r>
          </w:p>
        </w:tc>
      </w:tr>
      <w:tr w:rsidR="00F573C8" w:rsidRPr="0047077E" w:rsidTr="00D52DB1">
        <w:trPr>
          <w:trHeight w:val="199"/>
        </w:trPr>
        <w:tc>
          <w:tcPr>
            <w:tcW w:w="2410" w:type="dxa"/>
          </w:tcPr>
          <w:p w:rsidR="00F573C8" w:rsidRPr="0047077E" w:rsidRDefault="00F573C8" w:rsidP="001825BC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850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F573C8" w:rsidRPr="0047077E" w:rsidRDefault="00F573C8" w:rsidP="001825BC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F573C8" w:rsidRPr="0047077E" w:rsidTr="00D52DB1">
        <w:trPr>
          <w:trHeight w:val="199"/>
        </w:trPr>
        <w:tc>
          <w:tcPr>
            <w:tcW w:w="2410" w:type="dxa"/>
          </w:tcPr>
          <w:p w:rsidR="00F573C8" w:rsidRPr="0047077E" w:rsidRDefault="00F573C8" w:rsidP="001825BC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F573C8" w:rsidRPr="0047077E" w:rsidRDefault="00F573C8" w:rsidP="001825BC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F573C8" w:rsidRPr="0047077E" w:rsidTr="00D52DB1">
        <w:trPr>
          <w:trHeight w:val="248"/>
        </w:trPr>
        <w:tc>
          <w:tcPr>
            <w:tcW w:w="2410" w:type="dxa"/>
          </w:tcPr>
          <w:p w:rsidR="00F573C8" w:rsidRDefault="00F573C8" w:rsidP="001825BC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F573C8" w:rsidRDefault="00F573C8" w:rsidP="001825BC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F573C8" w:rsidRPr="0047077E" w:rsidTr="00D52DB1">
        <w:trPr>
          <w:trHeight w:val="248"/>
        </w:trPr>
        <w:tc>
          <w:tcPr>
            <w:tcW w:w="2410" w:type="dxa"/>
          </w:tcPr>
          <w:p w:rsidR="00F573C8" w:rsidRDefault="00F573C8" w:rsidP="001825BC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F573C8" w:rsidRDefault="00F573C8" w:rsidP="001825BC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F573C8" w:rsidRDefault="001825BC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F573C8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F573C8">
              <w:t>Cafeteros</w:t>
            </w:r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30699E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E31A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F37C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1825B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F37C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E623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F37C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3069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Default="00BF7193" w:rsidP="00E325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Default="00BF7193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Default="00BF7193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Default="00BF7193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BF7193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9045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2C10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BF719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93" w:rsidRPr="00CC55C6" w:rsidRDefault="00BF7193" w:rsidP="00E325F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193" w:rsidRPr="00CC55C6" w:rsidRDefault="00BF7193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F573C8">
        <w:rPr>
          <w:b/>
          <w:u w:val="single"/>
        </w:rPr>
        <w:t>25</w:t>
      </w:r>
      <w:proofErr w:type="gramEnd"/>
      <w:r>
        <w:rPr>
          <w:b/>
          <w:u w:val="single"/>
        </w:rPr>
        <w:t xml:space="preserve"> </w:t>
      </w:r>
      <w:r w:rsidR="005E47B2">
        <w:rPr>
          <w:b/>
          <w:u w:val="single"/>
        </w:rPr>
        <w:t>mayo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F94EFA" w:rsidP="00DC1A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F573C8" w:rsidP="00F573C8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563215" w:rsidRPr="0047077E" w:rsidRDefault="00F573C8" w:rsidP="00FB348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F573C8" w:rsidP="00DC1AB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563215" w:rsidRPr="0047077E" w:rsidRDefault="00F573C8" w:rsidP="00FB348F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F573C8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Honduras</w:t>
            </w:r>
          </w:p>
        </w:tc>
        <w:tc>
          <w:tcPr>
            <w:tcW w:w="2250" w:type="dxa"/>
          </w:tcPr>
          <w:p w:rsidR="00563215" w:rsidRPr="0047077E" w:rsidRDefault="00F573C8" w:rsidP="00FB348F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F573C8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563215" w:rsidRPr="0047077E" w:rsidRDefault="00F573C8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F94EFA" w:rsidRDefault="00F94EFA" w:rsidP="00FB348F">
            <w:pPr>
              <w:pStyle w:val="NormalWeb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27" w:type="dxa"/>
          </w:tcPr>
          <w:p w:rsidR="00563215" w:rsidRDefault="00F573C8" w:rsidP="00E73C82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563215" w:rsidRDefault="00F573C8" w:rsidP="00FB348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F573C8" w:rsidP="00FB348F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563215" w:rsidRDefault="00F573C8" w:rsidP="00FB348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F573C8" w:rsidP="00AE767A">
            <w:pPr>
              <w:pStyle w:val="NormalWeb"/>
              <w:jc w:val="center"/>
              <w:textAlignment w:val="top"/>
            </w:pPr>
            <w:r>
              <w:t>La Sede</w:t>
            </w:r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FD3CD7" w:rsidRDefault="0026205F" w:rsidP="00FD3CD7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2774E">
        <w:t>1</w:t>
      </w:r>
      <w:r w:rsidR="00781F2E">
        <w:t>3</w:t>
      </w:r>
      <w:r w:rsidR="0032774E">
        <w:t>, 1</w:t>
      </w:r>
      <w:r w:rsidR="00781F2E">
        <w:t>5.</w:t>
      </w:r>
      <w:r w:rsidR="00FD3CD7">
        <w:t xml:space="preserve"> </w:t>
      </w:r>
    </w:p>
    <w:p w:rsidR="009D4769" w:rsidRDefault="009D4769" w:rsidP="00BE26BC"/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E26BC" w:rsidRDefault="00305EC4" w:rsidP="004F548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</w:t>
      </w:r>
      <w:proofErr w:type="gramStart"/>
      <w:r w:rsidR="0026205F">
        <w:t xml:space="preserve">: </w:t>
      </w:r>
      <w:r w:rsidR="00D52DB1">
        <w:t>.</w:t>
      </w:r>
      <w:proofErr w:type="gramEnd"/>
      <w:r w:rsidR="00BE26BC">
        <w:t xml:space="preserve"> 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0308AC" w:rsidRDefault="0026205F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  <w:r w:rsidR="000308AC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32774E">
        <w:t>2</w:t>
      </w:r>
      <w:r w:rsidR="00781F2E">
        <w:t>7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781F2E">
        <w:t>1, 5, 11, 20</w:t>
      </w:r>
      <w:r w:rsidR="004F5484">
        <w:t>.</w:t>
      </w:r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D65F8" w:rsidRPr="003D65F8" w:rsidRDefault="0026205F" w:rsidP="003D65F8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781F2E">
        <w:t>7, 7, 13, 23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380AA7" w:rsidRDefault="00624ACA" w:rsidP="004F548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</w:t>
      </w:r>
      <w:r w:rsidR="004F5484">
        <w:t xml:space="preserve"> </w:t>
      </w:r>
      <w:r w:rsidR="00781F2E">
        <w:t>2, 9, 17</w:t>
      </w:r>
      <w:r w:rsidR="004F5484">
        <w:t>.</w:t>
      </w:r>
    </w:p>
    <w:p w:rsidR="004F5484" w:rsidRPr="004F5484" w:rsidRDefault="004F5484" w:rsidP="004F5484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BE26BC" w:rsidRPr="00EC4C68" w:rsidRDefault="00BE26BC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781F2E">
        <w:t>14, 17, 19, 20, 28</w:t>
      </w:r>
      <w:r w:rsidR="00E37CAD">
        <w:t>.</w:t>
      </w:r>
    </w:p>
    <w:p w:rsidR="002C101D" w:rsidRDefault="002C101D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781F2E">
        <w:t>13, 13</w:t>
      </w:r>
      <w:r w:rsidR="00065E5A">
        <w:t>.</w:t>
      </w:r>
    </w:p>
    <w:p w:rsidR="0032774E" w:rsidRDefault="0032774E" w:rsidP="0032774E">
      <w:pPr>
        <w:ind w:left="2880"/>
      </w:pPr>
    </w:p>
    <w:p w:rsidR="004F5484" w:rsidRDefault="004F5484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781F2E">
        <w:t>1, 12, 14, 19</w:t>
      </w:r>
      <w:r w:rsidR="00E37CAD">
        <w:t>.</w:t>
      </w:r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3328F1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E6233F" w:rsidRDefault="00E6233F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F03FF7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E6233F" w:rsidRDefault="00E6233F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9D395C" w:rsidRDefault="009D395C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5305CA" w:rsidRPr="003500F1" w:rsidTr="000B2C2B">
        <w:tc>
          <w:tcPr>
            <w:tcW w:w="1531" w:type="dxa"/>
          </w:tcPr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14)</w:t>
            </w:r>
          </w:p>
        </w:tc>
        <w:tc>
          <w:tcPr>
            <w:tcW w:w="1134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13-4-2025</w:t>
            </w:r>
          </w:p>
        </w:tc>
        <w:tc>
          <w:tcPr>
            <w:tcW w:w="1276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</w:tc>
        <w:tc>
          <w:tcPr>
            <w:tcW w:w="4253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zancadillear a un contrario sin balón.</w:t>
            </w:r>
          </w:p>
          <w:p w:rsidR="009D395C" w:rsidRDefault="009D395C" w:rsidP="00E41735">
            <w:pPr>
              <w:rPr>
                <w:sz w:val="20"/>
                <w:szCs w:val="20"/>
              </w:rPr>
            </w:pPr>
          </w:p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Fabricio Quintín Justiniano Delgadillo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e intento de dar un codazo al árbitro.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Yonny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Alejandro Vásquez Márquez </w:t>
            </w:r>
          </w:p>
          <w:p w:rsidR="002F3C39" w:rsidRDefault="002F3C39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24)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2F3C39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5-10-2025</w:t>
            </w:r>
          </w:p>
        </w:tc>
        <w:tc>
          <w:tcPr>
            <w:tcW w:w="4253" w:type="dxa"/>
          </w:tcPr>
          <w:p w:rsidR="00422388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de suspensión y 24 euros de multa por insultos graves al árbitro y faltarle al respeto.</w:t>
            </w:r>
          </w:p>
          <w:p w:rsidR="002F3C39" w:rsidRDefault="002F3C39" w:rsidP="002F3C39">
            <w:pPr>
              <w:rPr>
                <w:sz w:val="20"/>
                <w:szCs w:val="20"/>
              </w:rPr>
            </w:pPr>
          </w:p>
          <w:p w:rsidR="002F3C39" w:rsidRDefault="002F3C39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422388" w:rsidRPr="003500F1" w:rsidTr="000B2C2B">
        <w:tc>
          <w:tcPr>
            <w:tcW w:w="1531" w:type="dxa"/>
          </w:tcPr>
          <w:p w:rsidR="00422388" w:rsidRDefault="00685AED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 (Delegado)</w:t>
            </w:r>
          </w:p>
        </w:tc>
        <w:tc>
          <w:tcPr>
            <w:tcW w:w="1134" w:type="dxa"/>
          </w:tcPr>
          <w:p w:rsidR="00422388" w:rsidRDefault="00422388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422388" w:rsidRDefault="00422388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11-5-2025</w:t>
            </w:r>
          </w:p>
        </w:tc>
        <w:tc>
          <w:tcPr>
            <w:tcW w:w="1276" w:type="dxa"/>
          </w:tcPr>
          <w:p w:rsidR="00422388" w:rsidRDefault="00685AED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31-12-2025</w:t>
            </w:r>
          </w:p>
        </w:tc>
        <w:tc>
          <w:tcPr>
            <w:tcW w:w="4253" w:type="dxa"/>
          </w:tcPr>
          <w:p w:rsidR="00422388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sanciona, en su función de Delegado, con 15 partidos de suspensión y 48 euros de multa por su nula colaboración con el árbitro ante el comportamiento de sus jugadores, decidiendo por el contrario, retirar al equipo del campo.</w:t>
            </w:r>
          </w:p>
          <w:p w:rsidR="00685AED" w:rsidRDefault="00685AED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27-4-2025</w:t>
            </w:r>
          </w:p>
        </w:tc>
      </w:tr>
      <w:tr w:rsidR="001825BC" w:rsidRPr="003500F1" w:rsidTr="000B2C2B">
        <w:tc>
          <w:tcPr>
            <w:tcW w:w="1531" w:type="dxa"/>
          </w:tcPr>
          <w:p w:rsidR="001825BC" w:rsidRDefault="001825BC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Juan de Dios González Moreno</w:t>
            </w:r>
          </w:p>
          <w:p w:rsidR="001825BC" w:rsidRDefault="001825BC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(num.20)</w:t>
            </w:r>
          </w:p>
        </w:tc>
        <w:tc>
          <w:tcPr>
            <w:tcW w:w="1134" w:type="dxa"/>
          </w:tcPr>
          <w:p w:rsidR="001825BC" w:rsidRDefault="001825BC" w:rsidP="002F3C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Tartanga</w:t>
            </w:r>
            <w:proofErr w:type="spellEnd"/>
          </w:p>
        </w:tc>
        <w:tc>
          <w:tcPr>
            <w:tcW w:w="1275" w:type="dxa"/>
          </w:tcPr>
          <w:p w:rsidR="001825BC" w:rsidRDefault="001825BC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</w:tc>
        <w:tc>
          <w:tcPr>
            <w:tcW w:w="1276" w:type="dxa"/>
          </w:tcPr>
          <w:p w:rsidR="001825BC" w:rsidRDefault="001825BC" w:rsidP="002F3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  <w:p w:rsidR="001825BC" w:rsidRDefault="001825BC" w:rsidP="002F3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825BC" w:rsidRDefault="001825BC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1825BC" w:rsidRDefault="001825BC" w:rsidP="002F3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18-5-2025</w:t>
            </w:r>
          </w:p>
        </w:tc>
      </w:tr>
      <w:tr w:rsidR="001825BC" w:rsidRPr="003500F1" w:rsidTr="000B2C2B">
        <w:tc>
          <w:tcPr>
            <w:tcW w:w="1531" w:type="dxa"/>
          </w:tcPr>
          <w:p w:rsidR="001825BC" w:rsidRDefault="001825BC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Ion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Pistrui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13)</w:t>
            </w:r>
          </w:p>
        </w:tc>
        <w:tc>
          <w:tcPr>
            <w:tcW w:w="1134" w:type="dxa"/>
          </w:tcPr>
          <w:p w:rsidR="001825BC" w:rsidRDefault="001825BC" w:rsidP="002F3C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825BC" w:rsidRDefault="001825BC" w:rsidP="0018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</w:tc>
        <w:tc>
          <w:tcPr>
            <w:tcW w:w="1276" w:type="dxa"/>
          </w:tcPr>
          <w:p w:rsidR="001825BC" w:rsidRDefault="001825BC" w:rsidP="0018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  <w:p w:rsidR="001825BC" w:rsidRDefault="001825BC" w:rsidP="0018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825BC" w:rsidRDefault="001825BC" w:rsidP="0018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1825BC" w:rsidRDefault="001825BC" w:rsidP="0018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18-5-2025</w:t>
            </w:r>
          </w:p>
        </w:tc>
      </w:tr>
      <w:tr w:rsidR="001825BC" w:rsidRPr="003500F1" w:rsidTr="000B2C2B">
        <w:tc>
          <w:tcPr>
            <w:tcW w:w="1531" w:type="dxa"/>
          </w:tcPr>
          <w:p w:rsidR="001825BC" w:rsidRDefault="001825BC" w:rsidP="002F3C3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Falcan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Tamman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2)</w:t>
            </w:r>
          </w:p>
        </w:tc>
        <w:tc>
          <w:tcPr>
            <w:tcW w:w="1134" w:type="dxa"/>
          </w:tcPr>
          <w:p w:rsidR="001825BC" w:rsidRDefault="001825BC" w:rsidP="002F3C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1825BC" w:rsidRDefault="001825BC" w:rsidP="0018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</w:tc>
        <w:tc>
          <w:tcPr>
            <w:tcW w:w="1276" w:type="dxa"/>
          </w:tcPr>
          <w:p w:rsidR="001825BC" w:rsidRDefault="001825BC" w:rsidP="00182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  <w:p w:rsidR="001825BC" w:rsidRDefault="001825BC" w:rsidP="00182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825BC" w:rsidRDefault="001825BC" w:rsidP="0018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1825BC" w:rsidRDefault="001825BC" w:rsidP="00182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18-5-2025</w:t>
            </w:r>
          </w:p>
        </w:tc>
      </w:tr>
    </w:tbl>
    <w:p w:rsidR="00960C8D" w:rsidRDefault="00960C8D" w:rsidP="00960C8D">
      <w:pPr>
        <w:rPr>
          <w:b/>
        </w:rPr>
      </w:pPr>
    </w:p>
    <w:p w:rsidR="00BE26BC" w:rsidRDefault="00BE26BC" w:rsidP="003D65F8">
      <w:pPr>
        <w:ind w:firstLine="567"/>
        <w:rPr>
          <w:b/>
        </w:rPr>
      </w:pPr>
      <w:r>
        <w:rPr>
          <w:b/>
        </w:rPr>
        <w:t>Se está</w:t>
      </w:r>
      <w:r w:rsidR="00DE6383">
        <w:rPr>
          <w:b/>
        </w:rPr>
        <w:t>n</w:t>
      </w:r>
      <w:r>
        <w:rPr>
          <w:b/>
        </w:rPr>
        <w:t xml:space="preserve"> analizando las actuaciones de</w:t>
      </w:r>
      <w:r w:rsidR="00DE6383">
        <w:rPr>
          <w:b/>
        </w:rPr>
        <w:t>l</w:t>
      </w:r>
      <w:r>
        <w:rPr>
          <w:b/>
        </w:rPr>
        <w:t xml:space="preserve"> delegado de</w:t>
      </w:r>
      <w:r w:rsidR="00DE6383">
        <w:rPr>
          <w:b/>
        </w:rPr>
        <w:t>l</w:t>
      </w:r>
      <w:r>
        <w:rPr>
          <w:b/>
        </w:rPr>
        <w:t xml:space="preserve"> equipo </w:t>
      </w:r>
      <w:proofErr w:type="spellStart"/>
      <w:r>
        <w:rPr>
          <w:b/>
        </w:rPr>
        <w:t>Yepronor</w:t>
      </w:r>
      <w:proofErr w:type="spellEnd"/>
    </w:p>
    <w:p w:rsidR="00BE26BC" w:rsidRDefault="00BE26BC" w:rsidP="00C82B4B">
      <w:pPr>
        <w:rPr>
          <w:b/>
        </w:rPr>
      </w:pPr>
      <w:r>
        <w:rPr>
          <w:b/>
        </w:rPr>
        <w:t xml:space="preserve">          (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Luis Corral) en varias jornadas pasadas respecto de</w:t>
      </w:r>
    </w:p>
    <w:p w:rsidR="00C37862" w:rsidRDefault="00BE26BC" w:rsidP="00C82B4B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sus</w:t>
      </w:r>
      <w:proofErr w:type="gramEnd"/>
      <w:r>
        <w:rPr>
          <w:b/>
        </w:rPr>
        <w:t xml:space="preserve"> obligaciones </w:t>
      </w:r>
      <w:r w:rsidR="00AE767A">
        <w:rPr>
          <w:b/>
        </w:rPr>
        <w:t xml:space="preserve">y manifestaciones </w:t>
      </w:r>
      <w:r>
        <w:rPr>
          <w:b/>
        </w:rPr>
        <w:t>por si fueran sancionables.</w:t>
      </w: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lastRenderedPageBreak/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lastRenderedPageBreak/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E62D23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33F" w:rsidP="00E6233F">
            <w:pPr>
              <w:spacing w:before="100" w:after="100"/>
              <w:jc w:val="center"/>
            </w:pPr>
            <w:r>
              <w:t>1,48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F6239D" w:rsidRPr="00685AED" w:rsidRDefault="00692BB1" w:rsidP="000C046E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  <w:rPr>
          <w:b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9E70B9">
        <w:rPr>
          <w:b/>
          <w:u w:val="single"/>
        </w:rPr>
        <w:t>ene</w:t>
      </w:r>
      <w:r>
        <w:rPr>
          <w:b/>
          <w:u w:val="single"/>
        </w:rPr>
        <w:t>-</w:t>
      </w:r>
      <w:proofErr w:type="spellStart"/>
      <w:r w:rsidR="009E70B9">
        <w:rPr>
          <w:b/>
          <w:u w:val="single"/>
        </w:rPr>
        <w:t>mzo</w:t>
      </w:r>
      <w:proofErr w:type="spellEnd"/>
      <w:r>
        <w:rPr>
          <w:b/>
          <w:u w:val="single"/>
        </w:rPr>
        <w:t xml:space="preserve"> 202</w:t>
      </w:r>
      <w:r w:rsidR="009E70B9">
        <w:rPr>
          <w:b/>
          <w:u w:val="single"/>
        </w:rPr>
        <w:t>5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 xml:space="preserve">Se deben pagar antes del </w:t>
      </w:r>
      <w:r w:rsidR="009E70B9">
        <w:rPr>
          <w:color w:val="000000"/>
          <w:shd w:val="clear" w:color="auto" w:fill="FFFFFF"/>
        </w:rPr>
        <w:t>1</w:t>
      </w:r>
      <w:r w:rsidR="00F51B14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-</w:t>
      </w:r>
      <w:r w:rsidR="009E70B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8,50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95536E">
              <w:rPr>
                <w:b/>
                <w:color w:val="000000"/>
              </w:rPr>
              <w:t>,00</w:t>
            </w:r>
            <w:r w:rsidR="0095536E"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173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95536E"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2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1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0</w:t>
            </w:r>
            <w:r w:rsidR="0095536E"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95536E">
              <w:rPr>
                <w:b/>
                <w:color w:val="000000"/>
              </w:rPr>
              <w:t>,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</w:t>
            </w:r>
            <w:r>
              <w:rPr>
                <w:color w:val="000000"/>
              </w:rPr>
              <w:t>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4173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B2C2B">
              <w:rPr>
                <w:color w:val="000000"/>
              </w:rPr>
              <w:t>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  <w:r w:rsidR="000B2C2B">
              <w:rPr>
                <w:b/>
                <w:color w:val="000000"/>
              </w:rPr>
              <w:t>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DB1E50" w:rsidRDefault="00DA6822" w:rsidP="00BE26BC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D4" w:rsidRDefault="002601D4">
      <w:r>
        <w:separator/>
      </w:r>
    </w:p>
  </w:endnote>
  <w:endnote w:type="continuationSeparator" w:id="0">
    <w:p w:rsidR="002601D4" w:rsidRDefault="0026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BC" w:rsidRDefault="001825BC">
    <w:pPr>
      <w:pStyle w:val="Piedepgina"/>
      <w:pBdr>
        <w:bottom w:val="single" w:sz="12" w:space="1" w:color="auto"/>
      </w:pBdr>
    </w:pPr>
  </w:p>
  <w:p w:rsidR="001825BC" w:rsidRPr="00B62BB2" w:rsidRDefault="001825BC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26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18-5-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BF7193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BF7193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D4" w:rsidRDefault="002601D4">
      <w:r>
        <w:separator/>
      </w:r>
    </w:p>
  </w:footnote>
  <w:footnote w:type="continuationSeparator" w:id="0">
    <w:p w:rsidR="002601D4" w:rsidRDefault="00260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B45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474"/>
    <w:rsid w:val="00046750"/>
    <w:rsid w:val="00047491"/>
    <w:rsid w:val="00047687"/>
    <w:rsid w:val="000479F6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6C25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4D6D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7C9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5BC"/>
    <w:rsid w:val="001827F9"/>
    <w:rsid w:val="0018326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6922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0F76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7F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9CA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1FB4"/>
    <w:rsid w:val="00232AEA"/>
    <w:rsid w:val="002334C8"/>
    <w:rsid w:val="00234B3A"/>
    <w:rsid w:val="00234CA8"/>
    <w:rsid w:val="00235043"/>
    <w:rsid w:val="00235254"/>
    <w:rsid w:val="00235C18"/>
    <w:rsid w:val="00236028"/>
    <w:rsid w:val="002364BB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1D4"/>
    <w:rsid w:val="00260292"/>
    <w:rsid w:val="002602F1"/>
    <w:rsid w:val="00260BF7"/>
    <w:rsid w:val="00261414"/>
    <w:rsid w:val="00261470"/>
    <w:rsid w:val="00261A69"/>
    <w:rsid w:val="0026205F"/>
    <w:rsid w:val="002626D8"/>
    <w:rsid w:val="002634ED"/>
    <w:rsid w:val="002642AA"/>
    <w:rsid w:val="002650A6"/>
    <w:rsid w:val="0026554B"/>
    <w:rsid w:val="0026597D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01D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3C39"/>
    <w:rsid w:val="002F6B55"/>
    <w:rsid w:val="002F7211"/>
    <w:rsid w:val="003005FF"/>
    <w:rsid w:val="00303A4B"/>
    <w:rsid w:val="00305EC4"/>
    <w:rsid w:val="0030699E"/>
    <w:rsid w:val="0030770D"/>
    <w:rsid w:val="00310744"/>
    <w:rsid w:val="003109D9"/>
    <w:rsid w:val="00311413"/>
    <w:rsid w:val="00311500"/>
    <w:rsid w:val="00311EB0"/>
    <w:rsid w:val="00312593"/>
    <w:rsid w:val="0031426B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74E"/>
    <w:rsid w:val="00327AE8"/>
    <w:rsid w:val="0033039E"/>
    <w:rsid w:val="003304EE"/>
    <w:rsid w:val="00330D8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2ABA"/>
    <w:rsid w:val="00363B75"/>
    <w:rsid w:val="003641CB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3FCE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6BA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D65F8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388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0C34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65D21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A6F00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53E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2696"/>
    <w:rsid w:val="004F383E"/>
    <w:rsid w:val="004F3B8E"/>
    <w:rsid w:val="004F5484"/>
    <w:rsid w:val="004F662B"/>
    <w:rsid w:val="00500E87"/>
    <w:rsid w:val="005027F6"/>
    <w:rsid w:val="00503006"/>
    <w:rsid w:val="0050330F"/>
    <w:rsid w:val="00504602"/>
    <w:rsid w:val="005051EF"/>
    <w:rsid w:val="005062E3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1D0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05CA"/>
    <w:rsid w:val="005319BC"/>
    <w:rsid w:val="00531CDE"/>
    <w:rsid w:val="00532178"/>
    <w:rsid w:val="00532CBA"/>
    <w:rsid w:val="0053375F"/>
    <w:rsid w:val="00533E13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47B2"/>
    <w:rsid w:val="005E57D2"/>
    <w:rsid w:val="005E608E"/>
    <w:rsid w:val="005E609D"/>
    <w:rsid w:val="005E6633"/>
    <w:rsid w:val="005F0120"/>
    <w:rsid w:val="005F0822"/>
    <w:rsid w:val="005F1C11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5737C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5AED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65FF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59C4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4D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05324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0783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1A31"/>
    <w:rsid w:val="00781F2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DED"/>
    <w:rsid w:val="00793EB6"/>
    <w:rsid w:val="007941DA"/>
    <w:rsid w:val="007946C7"/>
    <w:rsid w:val="00795C08"/>
    <w:rsid w:val="00797D0B"/>
    <w:rsid w:val="00797DA0"/>
    <w:rsid w:val="007A1ED6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2410"/>
    <w:rsid w:val="008434A3"/>
    <w:rsid w:val="008438A0"/>
    <w:rsid w:val="00843E9D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6D39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3B94"/>
    <w:rsid w:val="00914720"/>
    <w:rsid w:val="00914D36"/>
    <w:rsid w:val="00915108"/>
    <w:rsid w:val="0091512D"/>
    <w:rsid w:val="0091783C"/>
    <w:rsid w:val="009226EC"/>
    <w:rsid w:val="0092311C"/>
    <w:rsid w:val="00923701"/>
    <w:rsid w:val="00923FC6"/>
    <w:rsid w:val="009244A1"/>
    <w:rsid w:val="00925805"/>
    <w:rsid w:val="0092622E"/>
    <w:rsid w:val="0092683B"/>
    <w:rsid w:val="00926D72"/>
    <w:rsid w:val="009306AA"/>
    <w:rsid w:val="009309DE"/>
    <w:rsid w:val="009309F1"/>
    <w:rsid w:val="00930FC6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076F"/>
    <w:rsid w:val="00971FB5"/>
    <w:rsid w:val="00972760"/>
    <w:rsid w:val="00972BAB"/>
    <w:rsid w:val="0097376D"/>
    <w:rsid w:val="00974493"/>
    <w:rsid w:val="00974C33"/>
    <w:rsid w:val="00976128"/>
    <w:rsid w:val="009763FA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395C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0B9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D62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1078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5C09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1398"/>
    <w:rsid w:val="00AE2408"/>
    <w:rsid w:val="00AE3A9A"/>
    <w:rsid w:val="00AE3F94"/>
    <w:rsid w:val="00AE3FD2"/>
    <w:rsid w:val="00AE43BB"/>
    <w:rsid w:val="00AE5882"/>
    <w:rsid w:val="00AE6629"/>
    <w:rsid w:val="00AE6704"/>
    <w:rsid w:val="00AE767A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043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26CD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26BC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193"/>
    <w:rsid w:val="00BF7839"/>
    <w:rsid w:val="00C00270"/>
    <w:rsid w:val="00C00D10"/>
    <w:rsid w:val="00C00EAA"/>
    <w:rsid w:val="00C01E42"/>
    <w:rsid w:val="00C026E0"/>
    <w:rsid w:val="00C02BB0"/>
    <w:rsid w:val="00C039A3"/>
    <w:rsid w:val="00C0566E"/>
    <w:rsid w:val="00C058A0"/>
    <w:rsid w:val="00C05BB3"/>
    <w:rsid w:val="00C060BA"/>
    <w:rsid w:val="00C0645A"/>
    <w:rsid w:val="00C077CC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6F03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97A0D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19CB"/>
    <w:rsid w:val="00CD2121"/>
    <w:rsid w:val="00CD21BF"/>
    <w:rsid w:val="00CD2429"/>
    <w:rsid w:val="00CD3481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2E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1C51"/>
    <w:rsid w:val="00D22483"/>
    <w:rsid w:val="00D22A1D"/>
    <w:rsid w:val="00D23327"/>
    <w:rsid w:val="00D23480"/>
    <w:rsid w:val="00D270E6"/>
    <w:rsid w:val="00D322C8"/>
    <w:rsid w:val="00D3274F"/>
    <w:rsid w:val="00D32E3C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C7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A86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6383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735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2116"/>
    <w:rsid w:val="00E5391E"/>
    <w:rsid w:val="00E54211"/>
    <w:rsid w:val="00E5493E"/>
    <w:rsid w:val="00E54C1C"/>
    <w:rsid w:val="00E55569"/>
    <w:rsid w:val="00E56E7F"/>
    <w:rsid w:val="00E60D24"/>
    <w:rsid w:val="00E60E11"/>
    <w:rsid w:val="00E6233F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3C82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9B3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105"/>
    <w:rsid w:val="00EB6ADB"/>
    <w:rsid w:val="00EB70E6"/>
    <w:rsid w:val="00EB7581"/>
    <w:rsid w:val="00EB75AC"/>
    <w:rsid w:val="00EB7B71"/>
    <w:rsid w:val="00EC00C1"/>
    <w:rsid w:val="00EC0183"/>
    <w:rsid w:val="00EC0E6B"/>
    <w:rsid w:val="00EC16D0"/>
    <w:rsid w:val="00EC326D"/>
    <w:rsid w:val="00EC36D1"/>
    <w:rsid w:val="00EC4197"/>
    <w:rsid w:val="00EC4FB6"/>
    <w:rsid w:val="00EC5506"/>
    <w:rsid w:val="00EC67A6"/>
    <w:rsid w:val="00EC6AB4"/>
    <w:rsid w:val="00EC78A9"/>
    <w:rsid w:val="00ED0E64"/>
    <w:rsid w:val="00ED17AE"/>
    <w:rsid w:val="00ED39E6"/>
    <w:rsid w:val="00ED5F7B"/>
    <w:rsid w:val="00ED6CFC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37CD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B14"/>
    <w:rsid w:val="00F51E41"/>
    <w:rsid w:val="00F530EE"/>
    <w:rsid w:val="00F54169"/>
    <w:rsid w:val="00F54192"/>
    <w:rsid w:val="00F555F2"/>
    <w:rsid w:val="00F55888"/>
    <w:rsid w:val="00F5596B"/>
    <w:rsid w:val="00F55E52"/>
    <w:rsid w:val="00F573C8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4EFA"/>
    <w:rsid w:val="00F95358"/>
    <w:rsid w:val="00F957F6"/>
    <w:rsid w:val="00F9615A"/>
    <w:rsid w:val="00F96493"/>
    <w:rsid w:val="00F978D1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117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3CD7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084"/>
    <w:rsid w:val="00FE7C2C"/>
    <w:rsid w:val="00FF02A1"/>
    <w:rsid w:val="00FF07F1"/>
    <w:rsid w:val="00FF0F16"/>
    <w:rsid w:val="00FF2D96"/>
    <w:rsid w:val="00FF3259"/>
    <w:rsid w:val="00FF3619"/>
    <w:rsid w:val="00FF42C8"/>
    <w:rsid w:val="00FF4549"/>
    <w:rsid w:val="00FF46BF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95276-127B-4C1F-9093-76DA9079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2025-05-18T14:40:00Z</cp:lastPrinted>
  <dcterms:created xsi:type="dcterms:W3CDTF">2025-05-18T14:44:00Z</dcterms:created>
  <dcterms:modified xsi:type="dcterms:W3CDTF">2025-05-18T14:44:00Z</dcterms:modified>
</cp:coreProperties>
</file>